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80"/>
        <w:jc w:val="center"/>
        <w:rPr>
          <w:b/>
          <w:bCs/>
        </w:rPr>
      </w:pPr>
      <w:r>
        <w:rPr>
          <w:b/>
          <w:bCs/>
        </w:rPr>
        <w:t xml:space="preserve">МИНИСТЕРСТВО ПРОМЫШЛЕННОСТИ И ТОРГОВЛИ</w:t>
      </w:r>
      <w:r>
        <w:rPr>
          <w:b/>
          <w:bCs/>
        </w:rPr>
      </w:r>
      <w:r>
        <w:rPr>
          <w:b/>
          <w:bCs/>
        </w:rPr>
      </w:r>
    </w:p>
    <w:p>
      <w:pPr>
        <w:ind w:firstLine="180"/>
        <w:jc w:val="center"/>
        <w:rPr>
          <w:b/>
          <w:bCs/>
        </w:rPr>
      </w:pPr>
      <w:r>
        <w:rPr>
          <w:b/>
          <w:bCs/>
        </w:rPr>
        <w:t xml:space="preserve">УДМУРТСКОЙ РЕСПУБЛИКИ</w:t>
      </w:r>
      <w:r>
        <w:rPr>
          <w:b/>
          <w:bCs/>
        </w:rPr>
      </w:r>
      <w:r>
        <w:rPr>
          <w:b/>
          <w:bCs/>
        </w:rPr>
      </w:r>
    </w:p>
    <w:p>
      <w:pPr>
        <w:ind w:firstLine="180"/>
        <w:jc w:val="center"/>
      </w:pPr>
      <w: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  <w:r/>
      <w:r>
        <w:t xml:space="preserve">торгово-закупочной деятельности</w:t>
      </w:r>
      <w:r/>
      <w:r/>
    </w:p>
    <w:p>
      <w:pPr>
        <w:ind w:firstLine="180"/>
        <w:jc w:val="center"/>
      </w:pPr>
      <w:r>
        <w:t xml:space="preserve">(уполномоченный орган на основании постановления</w:t>
      </w:r>
      <w:r/>
    </w:p>
    <w:p>
      <w:pPr>
        <w:ind w:firstLine="180"/>
        <w:jc w:val="center"/>
      </w:pPr>
      <w:r>
        <w:t xml:space="preserve">Правительства Удмуртской Республики от 22.12.2014 № 550)</w:t>
      </w:r>
      <w:r/>
    </w:p>
    <w:p>
      <w:pPr>
        <w:ind w:firstLine="180"/>
        <w:jc w:val="center"/>
      </w:pPr>
      <w:r/>
      <w:r/>
    </w:p>
    <w:p>
      <w:pPr>
        <w:ind w:firstLine="180"/>
        <w:jc w:val="center"/>
      </w:pPr>
      <w:r>
        <w:t xml:space="preserve">ул. </w:t>
      </w:r>
      <w:r>
        <w:t xml:space="preserve">Красная</w:t>
      </w:r>
      <w:r>
        <w:t xml:space="preserve">, 144, Ижевск, 426008, Тел.: (3412) 222-694</w:t>
      </w:r>
      <w:r/>
    </w:p>
    <w:p>
      <w:pPr>
        <w:pStyle w:val="877"/>
        <w:ind w:right="0" w:firstLine="0"/>
        <w:jc w:val="center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right="0" w:firstLine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left="0" w:right="0" w:firstLine="0"/>
        <w:jc w:val="center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7"/>
        <w:ind w:right="0" w:firstLine="540"/>
        <w:jc w:val="center"/>
        <w:widowControl/>
        <w:tabs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делу № 05-2</w:t>
      </w:r>
      <w:r>
        <w:rPr>
          <w:rFonts w:ascii="Times New Roman" w:hAnsi="Times New Roman" w:cs="Times New Roman"/>
          <w:sz w:val="24"/>
          <w:szCs w:val="24"/>
        </w:rPr>
        <w:t xml:space="preserve">-07/2024-13</w:t>
      </w:r>
      <w:r>
        <w:rPr>
          <w:rFonts w:ascii="Times New Roman" w:hAnsi="Times New Roman" w:cs="Times New Roman"/>
          <w:sz w:val="24"/>
          <w:szCs w:val="24"/>
        </w:rPr>
        <w:t xml:space="preserve"> о согласовании заключения контракта с единственным поставщиком (подрядчиком, исполнителем)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</w:pPr>
      <w:r/>
      <w:r/>
    </w:p>
    <w:p>
      <w:pPr>
        <w:jc w:val="both"/>
        <w:tabs>
          <w:tab w:val="left" w:pos="8100" w:leader="none"/>
        </w:tabs>
      </w:pPr>
      <w:r>
        <w:rPr>
          <w:color w:val="000000" w:themeColor="text1"/>
          <w:spacing w:val="-2"/>
        </w:rPr>
        <w:t xml:space="preserve">28.</w:t>
      </w:r>
      <w:r>
        <w:rPr>
          <w:color w:val="000000" w:themeColor="text1"/>
          <w:spacing w:val="-2"/>
        </w:rPr>
        <w:t xml:space="preserve">10</w:t>
      </w:r>
      <w:r>
        <w:rPr>
          <w:color w:val="000000" w:themeColor="text1"/>
          <w:spacing w:val="-2"/>
        </w:rPr>
        <w:t xml:space="preserve">.2024</w:t>
      </w:r>
      <w:r>
        <w:rPr>
          <w:color w:val="000000" w:themeColor="text1"/>
        </w:rPr>
        <w:t xml:space="preserve"> </w:t>
      </w:r>
      <w:r>
        <w:t xml:space="preserve">                                                                                                                                город Ижевск</w:t>
      </w:r>
      <w:r/>
    </w:p>
    <w:p>
      <w:pPr>
        <w:jc w:val="both"/>
        <w:tabs>
          <w:tab w:val="left" w:pos="8100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rPr>
          <w:highlight w:val="yellow"/>
        </w:rPr>
      </w:pPr>
      <w:r>
        <w:t xml:space="preserve">Комиссия в </w:t>
      </w:r>
      <w:r>
        <w:t xml:space="preserve">составе</w:t>
      </w:r>
      <w:r>
        <w:t xml:space="preserve"> должностных лиц Министерства промышленности и торговли Удмуртской Республики (далее – Министерство): </w:t>
      </w:r>
      <w:r/>
      <w:r>
        <w:rPr>
          <w:bCs/>
          <w:color w:val="000000" w:themeColor="text1"/>
        </w:rPr>
      </w:r>
      <w:r>
        <w:rPr>
          <w:bCs/>
          <w:color w:val="000000" w:themeColor="text1"/>
        </w:rPr>
        <w:t xml:space="preserve">&lt;….&gt;</w:t>
      </w:r>
      <w:r/>
      <w:r>
        <w:t xml:space="preserve"> - начальника Управления торгово-закупочной деятельности Министерства промышленности и торговли Удмуртской Республики, </w:t>
      </w:r>
      <w:r/>
      <w:r>
        <w:rPr>
          <w:bCs/>
          <w:color w:val="000000" w:themeColor="text1"/>
        </w:rPr>
      </w:r>
      <w:r>
        <w:rPr>
          <w:bCs/>
          <w:color w:val="000000" w:themeColor="text1"/>
        </w:rPr>
        <w:t xml:space="preserve">&lt;….&gt;</w:t>
      </w:r>
      <w:r/>
      <w:r>
        <w:t xml:space="preserve"> – начальника отдела по контролю в с</w:t>
      </w:r>
      <w:r>
        <w:t xml:space="preserve">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</w:t>
      </w:r>
      <w:r/>
      <w:r>
        <w:rPr>
          <w:bCs/>
          <w:color w:val="000000" w:themeColor="text1"/>
        </w:rPr>
      </w:r>
      <w:r>
        <w:rPr>
          <w:bCs/>
          <w:color w:val="000000" w:themeColor="text1"/>
        </w:rPr>
        <w:t xml:space="preserve">&lt;….&gt;</w:t>
      </w:r>
      <w:r/>
      <w:r>
        <w:t xml:space="preserve"> - заместителя начальника отдела, </w:t>
      </w:r>
      <w:r>
        <w:t xml:space="preserve">при проведении внеплановой п</w:t>
      </w:r>
      <w:r>
        <w:t xml:space="preserve">роверки в соответствии с пунктом 4 части 15 статьи</w:t>
      </w:r>
      <w:r>
        <w:t xml:space="preserve"> </w:t>
      </w:r>
      <w:r>
        <w:t xml:space="preserve">99 Федерального закона от 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</w:t>
      </w:r>
      <w:r>
        <w:t xml:space="preserve">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</w:t>
      </w:r>
      <w:r>
        <w:t xml:space="preserve">вщиком (подрядчиком, исполнителем) в случае признания конкурса</w:t>
      </w:r>
      <w:r>
        <w:t xml:space="preserve">, </w:t>
      </w:r>
      <w:r>
        <w:t xml:space="preserve">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</w:t>
      </w:r>
      <w:r>
        <w:t xml:space="preserve">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</w:t>
      </w:r>
      <w:r>
        <w:t xml:space="preserve">ые акты Правительства Российской Федерации», постановлением Правительства</w:t>
      </w:r>
      <w:r>
        <w:t xml:space="preserve"> </w:t>
      </w:r>
      <w:r>
        <w:t xml:space="preserve">Российской Федерации от 01.10.2020 № 1576 «Об утверждении Правил осуществления контроля в сфере закупок товаров, работ, услуг в отношении заказчиков, контрактных служб, контрактных у</w:t>
      </w:r>
      <w:r>
        <w:t xml:space="preserve">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</w:t>
      </w:r>
      <w:r>
        <w:t xml:space="preserve">ении изменений в Правила ведения реестра жалоб, плановых и внеплановых проверок, принятых</w:t>
      </w:r>
      <w:r>
        <w:t xml:space="preserve"> </w:t>
      </w:r>
      <w:r>
        <w:t xml:space="preserve">по ним решений и выданных предписаний, представлений», на основании приказа Министерства от </w:t>
      </w:r>
      <w:r>
        <w:t xml:space="preserve">24.</w:t>
      </w:r>
      <w:r>
        <w:t xml:space="preserve">10</w:t>
      </w:r>
      <w:r>
        <w:t xml:space="preserve">.2024 № 1</w:t>
      </w:r>
      <w:r>
        <w:t xml:space="preserve">71 «О проведении внеплановой проверки </w:t>
      </w:r>
      <w:r>
        <w:t xml:space="preserve">бюджетного учреждения культуры Удмуртской Республики «Государственный мемориально-архитектурный комплекс «Музей-усадьба П.И. Чайковского»</w:t>
      </w:r>
      <w:r>
        <w:rPr>
          <w:highlight w:val="white"/>
        </w:rPr>
        <w:t xml:space="preserve"> о согласовании заключения государственного контракта с единственным поставщиком (подрядчиком, исполнителем) при проведении закупки </w:t>
      </w:r>
      <w:r>
        <w:rPr>
          <w:highlight w:val="white"/>
        </w:rPr>
        <w:t xml:space="preserve">на </w:t>
      </w:r>
      <w:r>
        <w:rPr>
          <w:highlight w:val="white"/>
        </w:rPr>
        <w:t xml:space="preserve">выполнение работ </w:t>
      </w:r>
      <w:r>
        <w:rPr>
          <w:highlight w:val="white"/>
        </w:rPr>
        <w:t xml:space="preserve">капитального ремонта крыши и чердачного перекрытия здания БУК УР «ГМАК «Музей-усадьба П.И.Чайковского», расположенного по адресу: Удмуртская Республика, г. Воткинск, ул. Чайковского, 119»</w:t>
      </w:r>
      <w:r>
        <w:rPr>
          <w:highlight w:val="white"/>
        </w:rPr>
        <w:t xml:space="preserve"> </w:t>
      </w:r>
      <w:r>
        <w:rPr>
          <w:highlight w:val="white"/>
        </w:rPr>
        <w:t xml:space="preserve">(</w:t>
      </w:r>
      <w:r>
        <w:rPr>
          <w:highlight w:val="white"/>
        </w:rPr>
        <w:t xml:space="preserve">извещение от 08.10.2024 № </w:t>
      </w:r>
      <w:r>
        <w:rPr>
          <w:highlight w:val="white"/>
        </w:rPr>
        <w:t xml:space="preserve">0813500000124017503</w:t>
      </w:r>
      <w:r>
        <w:rPr>
          <w:highlight w:val="white"/>
        </w:rPr>
        <w:t xml:space="preserve">)</w:t>
      </w:r>
      <w:r>
        <w:rPr>
          <w:highlight w:val="white"/>
        </w:rPr>
        <w:t xml:space="preserve">,</w:t>
      </w:r>
      <w:r>
        <w:t xml:space="preserve"> поступившего в Министерство </w:t>
      </w:r>
      <w:r>
        <w:rPr>
          <w:bCs/>
        </w:rPr>
        <w:t xml:space="preserve">по</w:t>
      </w:r>
      <w:r>
        <w:rPr>
          <w:bCs/>
        </w:rPr>
        <w:t xml:space="preserve">средством</w:t>
      </w:r>
      <w:r>
        <w:rPr>
          <w:bCs/>
        </w:rPr>
        <w:t xml:space="preserve"> единой информационной системы в сфере закупок </w:t>
      </w:r>
      <w:r>
        <w:rPr>
          <w:bCs/>
        </w:rPr>
        <w:t xml:space="preserve">23.10.2024 №  031320001260000004)</w:t>
      </w:r>
      <w:r>
        <w:t xml:space="preserve">,</w:t>
      </w:r>
      <w:r>
        <w:rPr>
          <w:highlight w:val="yellow"/>
        </w:rPr>
      </w:r>
      <w:r>
        <w:rPr>
          <w:highlight w:val="yellow"/>
        </w:rPr>
      </w:r>
    </w:p>
    <w:p>
      <w:r/>
      <w:r/>
    </w:p>
    <w:p>
      <w:pPr>
        <w:ind w:left="0" w:right="0" w:firstLine="0"/>
        <w:jc w:val="center"/>
      </w:pPr>
      <w:r>
        <w:t xml:space="preserve">УСТАНОВИЛА:</w:t>
      </w:r>
      <w:r/>
    </w:p>
    <w:p>
      <w:pPr>
        <w:jc w:val="both"/>
        <w:rPr>
          <w:u w:val="single"/>
        </w:rPr>
      </w:pPr>
      <w:r>
        <w:rPr>
          <w:u w:val="single"/>
        </w:rPr>
      </w:r>
      <w:r>
        <w:rPr>
          <w:u w:val="single"/>
        </w:rPr>
      </w:r>
      <w:r>
        <w:rPr>
          <w:u w:val="single"/>
        </w:rPr>
      </w:r>
    </w:p>
    <w:p>
      <w:pPr>
        <w:ind w:firstLine="540"/>
        <w:jc w:val="both"/>
        <w:rPr>
          <w:spacing w:val="5"/>
        </w:rPr>
      </w:pPr>
      <w:r>
        <w:rPr>
          <w:spacing w:val="5"/>
        </w:rPr>
        <w:t xml:space="preserve">На официальном сайте единой информационной системы в сфере закупок (</w:t>
      </w:r>
      <w:r>
        <w:rPr>
          <w:spacing w:val="5"/>
          <w:lang w:val="en-US"/>
        </w:rPr>
        <w:t xml:space="preserve">https</w:t>
      </w:r>
      <w:r>
        <w:rPr>
          <w:spacing w:val="5"/>
        </w:rPr>
        <w:t xml:space="preserve">://</w:t>
      </w:r>
      <w:r>
        <w:rPr>
          <w:spacing w:val="5"/>
          <w:lang w:val="en-US"/>
        </w:rPr>
        <w:t xml:space="preserve">zakupki</w:t>
      </w:r>
      <w:r>
        <w:rPr>
          <w:spacing w:val="5"/>
        </w:rPr>
        <w:t xml:space="preserve">.</w:t>
      </w:r>
      <w:r>
        <w:rPr>
          <w:spacing w:val="5"/>
          <w:lang w:val="en-US"/>
        </w:rPr>
        <w:t xml:space="preserve">gov</w:t>
      </w:r>
      <w:r>
        <w:rPr>
          <w:spacing w:val="5"/>
        </w:rPr>
        <w:t xml:space="preserve">.</w:t>
      </w:r>
      <w:r>
        <w:rPr>
          <w:spacing w:val="5"/>
          <w:lang w:val="en-US"/>
        </w:rPr>
        <w:t xml:space="preserve">ru</w:t>
      </w:r>
      <w:r>
        <w:rPr>
          <w:spacing w:val="5"/>
        </w:rPr>
        <w:t xml:space="preserve">/) (далее - ЕИС) </w:t>
      </w:r>
      <w:r>
        <w:rPr>
          <w:spacing w:val="5"/>
        </w:rPr>
        <w:t xml:space="preserve">08.10.2024</w:t>
      </w:r>
      <w:r>
        <w:rPr>
          <w:spacing w:val="5"/>
        </w:rPr>
        <w:t xml:space="preserve"> размещено извещение </w:t>
      </w:r>
      <w:r>
        <w:rPr>
          <w:spacing w:val="5"/>
        </w:rPr>
        <w:t xml:space="preserve">№ </w:t>
      </w:r>
      <w:r>
        <w:t xml:space="preserve">0813500000124017503</w:t>
      </w:r>
      <w:r>
        <w:t xml:space="preserve"> </w:t>
      </w:r>
      <w:r>
        <w:rPr>
          <w:spacing w:val="5"/>
        </w:rPr>
        <w:t xml:space="preserve">о проведении </w:t>
      </w:r>
      <w:r>
        <w:rPr>
          <w:spacing w:val="5"/>
        </w:rPr>
        <w:t xml:space="preserve">электронного аукциона на </w:t>
      </w:r>
      <w:r>
        <w:rPr>
          <w:spacing w:val="5"/>
        </w:rPr>
        <w:t xml:space="preserve">выполнение работ капитального ремонта крыши и чердачного перекрытия здания БУК УР «ГМАК «Музей-усадьба П.И.Чайковского», расположенного по адресу: </w:t>
      </w:r>
      <w:r>
        <w:rPr>
          <w:spacing w:val="5"/>
        </w:rPr>
        <w:t xml:space="preserve">Удмуртская Республика</w:t>
      </w:r>
      <w:r>
        <w:rPr>
          <w:spacing w:val="5"/>
        </w:rPr>
        <w:t xml:space="preserve">, г. Воткинск, ул. Чайковского, 119» </w:t>
      </w:r>
      <w:r>
        <w:rPr>
          <w:spacing w:val="5"/>
        </w:rPr>
        <w:t xml:space="preserve">в соответствии с пунктом 8 части 1 статьи 33 Федерального закона № 44-ФЗ на выполнение работ </w:t>
      </w:r>
      <w:r>
        <w:rPr>
          <w:spacing w:val="5"/>
        </w:rPr>
        <w:t xml:space="preserve"> (далее – Извеще</w:t>
      </w:r>
      <w:r>
        <w:rPr>
          <w:spacing w:val="5"/>
        </w:rPr>
        <w:t xml:space="preserve">ние) с начальной (максимальной) ценой контракта - </w:t>
      </w:r>
      <w:r>
        <w:rPr>
          <w:spacing w:val="5"/>
        </w:rPr>
        <w:t xml:space="preserve">16 453 380,00</w:t>
      </w:r>
      <w:r>
        <w:rPr>
          <w:spacing w:val="5"/>
        </w:rPr>
        <w:t xml:space="preserve"> (Шестнадцать миллионов четыреста пятьдесят три тысячи триста восемьдесят) рублей 00 копеек.</w:t>
      </w:r>
      <w:r>
        <w:rPr>
          <w:spacing w:val="5"/>
        </w:rPr>
      </w:r>
      <w:r>
        <w:rPr>
          <w:spacing w:val="5"/>
        </w:rPr>
      </w:r>
    </w:p>
    <w:p>
      <w:pPr>
        <w:ind w:firstLine="540"/>
        <w:jc w:val="both"/>
        <w:rPr>
          <w:bCs/>
          <w:iCs/>
        </w:rPr>
      </w:pPr>
      <w:r>
        <w:t xml:space="preserve">Заказчик: </w:t>
      </w:r>
      <w:r>
        <w:t xml:space="preserve">бюджетное учреждение культуры Удмуртской Республики «Государственный мемориально-архитектурный комплекс «Музей-усадьба П.И. Чайковского»</w:t>
      </w:r>
      <w:r>
        <w:t xml:space="preserve"> (далее – </w:t>
      </w:r>
      <w:r>
        <w:t xml:space="preserve">БУК УР «ГМАК «Музей – усадьба П.И. Чайковского»</w:t>
      </w:r>
      <w:r>
        <w:t xml:space="preserve">, Заказчик).</w:t>
      </w:r>
      <w:r>
        <w:rPr>
          <w:bCs/>
          <w:iCs/>
        </w:rPr>
      </w:r>
      <w:r>
        <w:rPr>
          <w:bCs/>
          <w:iCs/>
        </w:rPr>
      </w:r>
    </w:p>
    <w:p>
      <w:pPr>
        <w:ind w:firstLine="540"/>
        <w:jc w:val="both"/>
        <w:rPr>
          <w:bCs/>
          <w:iCs/>
        </w:rPr>
      </w:pPr>
      <w:r>
        <w:t xml:space="preserve">Местонахождение Заказчика: </w:t>
      </w:r>
      <w:r>
        <w:rPr>
          <w:bCs/>
        </w:rPr>
        <w:t xml:space="preserve">427431, Удмуртская Республика, г. Воткинск, ул. Чайковского, 119</w:t>
      </w:r>
      <w:r>
        <w:rPr>
          <w:bCs/>
          <w:iCs/>
        </w:rPr>
        <w:t xml:space="preserve">.</w:t>
      </w:r>
      <w:r>
        <w:rPr>
          <w:bCs/>
          <w:iCs/>
        </w:rPr>
      </w:r>
      <w:r>
        <w:rPr>
          <w:bCs/>
          <w:iCs/>
        </w:rPr>
      </w:r>
    </w:p>
    <w:p>
      <w:pPr>
        <w:ind w:firstLine="540"/>
        <w:jc w:val="both"/>
        <w:rPr>
          <w:rFonts w:eastAsia="MS Mincho"/>
        </w:rPr>
      </w:pPr>
      <w:r>
        <w:rPr>
          <w:rFonts w:eastAsia="MS Mincho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</w:t>
      </w:r>
      <w:r>
        <w:rPr>
          <w:rFonts w:eastAsia="MS Mincho"/>
          <w:lang w:eastAsia="ja-JP"/>
        </w:rPr>
        <w:t xml:space="preserve">алее </w:t>
      </w:r>
      <w:r>
        <w:t xml:space="preserve">– </w:t>
      </w:r>
      <w:r>
        <w:rPr>
          <w:rFonts w:eastAsia="MS Mincho"/>
          <w:lang w:eastAsia="ja-JP"/>
        </w:rPr>
        <w:t xml:space="preserve">ГКУ УР «РЦЗ УР»).</w:t>
      </w:r>
      <w:r>
        <w:rPr>
          <w:rFonts w:eastAsia="MS Mincho"/>
        </w:rPr>
      </w:r>
      <w:r>
        <w:rPr>
          <w:rFonts w:eastAsia="MS Mincho"/>
        </w:rPr>
      </w:r>
    </w:p>
    <w:p>
      <w:pPr>
        <w:ind w:firstLine="540"/>
        <w:jc w:val="both"/>
        <w:rPr>
          <w:rFonts w:eastAsia="MS Mincho"/>
        </w:rPr>
      </w:pPr>
      <w:r>
        <w:rPr>
          <w:rFonts w:eastAsia="MS Mincho"/>
          <w:lang w:eastAsia="ja-JP"/>
        </w:rPr>
        <w:t xml:space="preserve">Местонахождение ГКУ УР «РЦЗ УР»: 426008, Удмуртская Республика, г. Ижевск, ул. Красная, 144.</w:t>
      </w:r>
      <w:r>
        <w:rPr>
          <w:rFonts w:eastAsia="MS Mincho"/>
        </w:rPr>
      </w:r>
      <w:r>
        <w:rPr>
          <w:rFonts w:eastAsia="MS Mincho"/>
        </w:rPr>
      </w:r>
    </w:p>
    <w:p>
      <w:pPr>
        <w:ind w:firstLine="0"/>
        <w:jc w:val="both"/>
        <w:shd w:val="clear" w:color="auto" w:fill="ffffff"/>
        <w:tabs>
          <w:tab w:val="left" w:pos="567" w:leader="none"/>
        </w:tabs>
      </w:pPr>
      <w:r>
        <w:tab/>
      </w:r>
      <w:r>
        <w:rPr>
          <w:color w:val="auto"/>
          <w:highlight w:val="white"/>
        </w:rPr>
        <w:t xml:space="preserve">Согласно </w:t>
      </w:r>
      <w:r>
        <w:rPr>
          <w:rFonts w:eastAsia="MS Mincho"/>
          <w:color w:val="auto"/>
          <w:highlight w:val="white"/>
          <w:lang w:eastAsia="ja-JP"/>
        </w:rPr>
        <w:t xml:space="preserve">протоколу </w:t>
      </w:r>
      <w:r>
        <w:rPr>
          <w:rFonts w:eastAsia="MS Mincho"/>
          <w:color w:val="auto"/>
          <w:highlight w:val="white"/>
          <w:lang w:eastAsia="ja-JP"/>
        </w:rPr>
        <w:t xml:space="preserve">подведения итогов поставщика (подрядчика, исполнителя) от 16.10.202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  <w:lang w:eastAsia="ja-JP"/>
        </w:rPr>
        <w:t xml:space="preserve">4 </w:t>
      </w:r>
      <w:r>
        <w:rPr>
          <w:rStyle w:val="891"/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в соответствии с пунктом 3 части 1 статьи 52 Федерального закона № 44-ФЗ электронный аукцион признан несостоявшимся в связи с тем, что по окончании срока подачи з</w:t>
      </w:r>
      <w:r>
        <w:rPr>
          <w:rStyle w:val="891"/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аявок на участие в закупке не подано ни одной заявки на участие в закупке</w:t>
      </w:r>
      <w:r>
        <w:rPr>
          <w:rStyle w:val="891"/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  <w:highlight w:val="white"/>
        </w:rPr>
        <w:t xml:space="preserve">.</w:t>
      </w:r>
      <w:r/>
      <w:r/>
      <w:r/>
    </w:p>
    <w:p>
      <w:pPr>
        <w:ind w:firstLine="540"/>
        <w:jc w:val="both"/>
        <w:rPr>
          <w:highlight w:val="white"/>
        </w:rPr>
      </w:pPr>
      <w:r>
        <w:rPr>
          <w:rStyle w:val="891"/>
          <w:highlight w:val="white"/>
        </w:rPr>
        <w:t xml:space="preserve">связи с тем, что по окончании срока подачи заявок на участие в закупке не подано ни одной заявки на участие в закупке.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0"/>
        <w:jc w:val="center"/>
        <w:rPr>
          <w:rFonts w:eastAsia="MS Mincho"/>
        </w:rPr>
      </w:pPr>
      <w:r/>
      <w:bookmarkStart w:id="0" w:name="_GoBack"/>
      <w:r/>
      <w:bookmarkEnd w:id="0"/>
      <w:r>
        <w:rPr>
          <w:rFonts w:eastAsia="MS Mincho"/>
          <w:lang w:eastAsia="ja-JP"/>
        </w:rPr>
        <w:t xml:space="preserve">РЕШИЛА:</w:t>
      </w:r>
      <w:r>
        <w:rPr>
          <w:rFonts w:eastAsia="MS Mincho"/>
        </w:rPr>
      </w:r>
      <w:r>
        <w:rPr>
          <w:rFonts w:eastAsia="MS Mincho"/>
        </w:rPr>
      </w:r>
    </w:p>
    <w:p>
      <w:pPr>
        <w:jc w:val="both"/>
        <w:rPr>
          <w:rFonts w:eastAsia="MS Mincho"/>
        </w:rPr>
      </w:pPr>
      <w:r>
        <w:rPr>
          <w:rFonts w:eastAsia="MS Mincho"/>
        </w:rPr>
      </w:r>
      <w:r>
        <w:rPr>
          <w:rFonts w:eastAsia="MS Mincho"/>
        </w:rPr>
      </w:r>
      <w:r>
        <w:rPr>
          <w:rFonts w:eastAsia="MS Mincho"/>
        </w:rPr>
      </w:r>
    </w:p>
    <w:p>
      <w:pPr>
        <w:ind w:firstLine="540"/>
        <w:jc w:val="both"/>
        <w:widowControl w:val="off"/>
        <w:rPr>
          <w:rFonts w:eastAsia="MS Mincho"/>
        </w:rPr>
      </w:pPr>
      <w:r>
        <w:rPr>
          <w:rFonts w:eastAsia="MS Mincho"/>
          <w:lang w:val="en-US" w:eastAsia="ja-JP"/>
        </w:rPr>
        <w:t xml:space="preserve">C</w:t>
      </w:r>
      <w:r>
        <w:rPr>
          <w:rFonts w:eastAsia="MS Mincho"/>
          <w:lang w:eastAsia="ja-JP"/>
        </w:rPr>
        <w:t xml:space="preserve">огласовать</w:t>
      </w:r>
      <w:r>
        <w:rPr>
          <w:rFonts w:eastAsia="MS Mincho"/>
          <w:lang w:eastAsia="ja-JP"/>
        </w:rPr>
        <w:t xml:space="preserve"> </w:t>
      </w:r>
      <w:r>
        <w:rPr>
          <w:rFonts w:eastAsia="MS Mincho"/>
          <w:bCs/>
          <w:iCs/>
          <w:lang w:eastAsia="ja-JP"/>
        </w:rPr>
        <w:t xml:space="preserve">БУК УР «ГМАК «Музей – усадьба П.И. Чайковского»</w:t>
      </w:r>
      <w:r>
        <w:rPr>
          <w:rFonts w:eastAsia="MS Mincho"/>
          <w:lang w:eastAsia="ja-JP"/>
        </w:rPr>
        <w:t xml:space="preserve"> заключение государственного контракта на </w:t>
      </w:r>
      <w:r>
        <w:t xml:space="preserve">выполнение работ </w:t>
      </w:r>
      <w:r>
        <w:t xml:space="preserve">капитального ремонта крыши и чердачного перекрытия здания БУК УР «ГМАК «Музей-усадьба П.И.Чайковского»</w:t>
      </w:r>
      <w:r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«</w:t>
      </w:r>
      <w:r>
        <w:rPr>
          <w:rFonts w:eastAsia="MS Mincho"/>
          <w:lang w:eastAsia="ja-JP"/>
        </w:rPr>
        <w:t xml:space="preserve">&lt;….&gt;</w:t>
      </w:r>
      <w:r>
        <w:rPr>
          <w:rFonts w:eastAsia="MS Mincho"/>
          <w:lang w:eastAsia="ja-JP"/>
        </w:rPr>
        <w:t xml:space="preserve">»</w:t>
      </w:r>
      <w:r/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t xml:space="preserve"> (ИНН </w:t>
      </w:r>
      <w:r>
        <w:rPr>
          <w:rFonts w:eastAsia="MS Mincho"/>
          <w:lang w:eastAsia="ja-JP"/>
        </w:rPr>
        <w:t xml:space="preserve">&lt;….&gt;</w:t>
      </w:r>
      <w:r>
        <w:rPr>
          <w:rFonts w:eastAsia="MS Mincho"/>
          <w:lang w:eastAsia="ja-JP"/>
        </w:rPr>
        <w:t xml:space="preserve">) с ценой контракта не превышающей начальную (максимальную) цену контракта, предложенной </w:t>
      </w:r>
      <w:r>
        <w:rPr>
          <w:spacing w:val="5"/>
        </w:rPr>
        <w:t xml:space="preserve"> </w:t>
      </w:r>
      <w:r>
        <w:rPr>
          <w:rFonts w:eastAsia="MS Mincho"/>
          <w:lang w:eastAsia="ja-JP"/>
        </w:rPr>
      </w:r>
      <w:r>
        <w:rPr>
          <w:rFonts w:eastAsia="MS Mincho"/>
          <w:lang w:eastAsia="ja-JP"/>
        </w:rPr>
        <w:t xml:space="preserve">«</w:t>
      </w:r>
      <w:r>
        <w:rPr>
          <w:rFonts w:eastAsia="MS Mincho"/>
          <w:lang w:eastAsia="ja-JP"/>
        </w:rPr>
        <w:t xml:space="preserve">&lt;….&gt;</w:t>
      </w:r>
      <w:r>
        <w:rPr>
          <w:rFonts w:eastAsia="MS Mincho"/>
          <w:lang w:eastAsia="ja-JP"/>
        </w:rPr>
        <w:t xml:space="preserve">»</w:t>
      </w:r>
      <w:r/>
      <w:r>
        <w:rPr>
          <w:rFonts w:eastAsia="MS Mincho"/>
          <w:lang w:eastAsia="ja-JP"/>
        </w:rPr>
      </w:r>
      <w:r>
        <w:rPr>
          <w:spacing w:val="5"/>
        </w:rPr>
        <w:t xml:space="preserve"> 13 356 969,03 (Тринадцать миллионов триста пятьдесят шесть тысяч девятьсот шестьдесят девять) </w:t>
      </w:r>
      <w:r>
        <w:rPr>
          <w:rFonts w:eastAsia="MS Mincho"/>
          <w:lang w:eastAsia="ja-JP"/>
        </w:rPr>
        <w:t xml:space="preserve"> рублей 03 копейки </w:t>
      </w:r>
      <w:r>
        <w:rPr>
          <w:rFonts w:eastAsia="MS Mincho"/>
          <w:lang w:eastAsia="ja-JP"/>
        </w:rPr>
        <w:t xml:space="preserve">(исх. от 23.10.2024 № 2310/02).</w:t>
      </w:r>
      <w:r>
        <w:rPr>
          <w:rFonts w:eastAsia="MS Mincho"/>
        </w:rPr>
      </w:r>
      <w:r>
        <w:rPr>
          <w:rFonts w:eastAsia="MS Mincho"/>
        </w:rPr>
      </w:r>
    </w:p>
    <w:p>
      <w:pPr>
        <w:jc w:val="both"/>
        <w:rPr>
          <w:rFonts w:eastAsia="MS Mincho"/>
        </w:rPr>
      </w:pPr>
      <w:r>
        <w:rPr>
          <w:rFonts w:eastAsia="MS Mincho"/>
        </w:rPr>
      </w:r>
      <w:r>
        <w:rPr>
          <w:rFonts w:eastAsia="MS Mincho"/>
        </w:rPr>
      </w:r>
      <w:r>
        <w:rPr>
          <w:rFonts w:eastAsia="MS Mincho"/>
        </w:rPr>
      </w:r>
    </w:p>
    <w:p>
      <w:pPr>
        <w:jc w:val="both"/>
        <w:rPr>
          <w:rFonts w:eastAsia="MS Mincho"/>
          <w:color w:val="000000" w:themeColor="text1"/>
        </w:rPr>
      </w:pPr>
      <w:r>
        <w:rPr>
          <w:rFonts w:eastAsia="MS Mincho"/>
          <w:color w:val="000000" w:themeColor="text1"/>
        </w:rPr>
      </w:r>
      <w:r>
        <w:rPr>
          <w:rFonts w:eastAsia="MS Mincho"/>
          <w:color w:val="000000" w:themeColor="text1"/>
        </w:rPr>
      </w:r>
      <w:r>
        <w:rPr>
          <w:rFonts w:eastAsia="MS Mincho"/>
          <w:color w:val="000000" w:themeColor="text1"/>
        </w:rPr>
      </w:r>
    </w:p>
    <w:p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  <w:t xml:space="preserve">Начальник Управления</w:t>
      </w:r>
      <w:r>
        <w:rPr>
          <w:bCs/>
          <w:color w:val="000000" w:themeColor="text1"/>
        </w:rPr>
        <w:t xml:space="preserve">                                                                                                       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&lt;….&gt;</w:t>
      </w:r>
      <w:r/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tabs>
          <w:tab w:val="left" w:pos="9071" w:leader="none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Начальник отдела                                         </w:t>
      </w:r>
      <w:r>
        <w:rPr>
          <w:bCs/>
          <w:color w:val="000000" w:themeColor="text1"/>
        </w:rPr>
        <w:t xml:space="preserve">                                                                        </w:t>
      </w:r>
      <w:r>
        <w:rPr>
          <w:bCs/>
          <w:color w:val="000000" w:themeColor="text1"/>
        </w:rPr>
        <w:t xml:space="preserve">&lt;….&gt;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tabs>
          <w:tab w:val="left" w:pos="8646" w:leader="none"/>
          <w:tab w:val="left" w:pos="8787" w:leader="none"/>
        </w:tabs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Заместитель начальника отдела                                                                                          </w:t>
      </w:r>
      <w:r>
        <w:rPr>
          <w:bCs/>
          <w:color w:val="000000" w:themeColor="text1"/>
        </w:rPr>
        <w:t xml:space="preserve">&lt;….&gt;</w:t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p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</w:r>
      <w:r>
        <w:rPr>
          <w:bCs/>
          <w:color w:val="000000" w:themeColor="text1"/>
        </w:rPr>
      </w:r>
      <w:r>
        <w:rPr>
          <w:bCs/>
          <w:color w:val="000000" w:themeColor="text1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426" w:left="993" w:header="709" w:footer="33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Tahoma">
    <w:panose1 w:val="020B060603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22" w:hanging="900"/>
      </w:pPr>
    </w:lvl>
    <w:lvl w:ilvl="1">
      <w:start w:val="2"/>
      <w:numFmt w:val="decimal"/>
      <w:isLgl/>
      <w:suff w:val="tab"/>
      <w:lvlText w:val="%1.%2."/>
      <w:lvlJc w:val="left"/>
      <w:pPr>
        <w:ind w:left="9056" w:hanging="720"/>
      </w:pPr>
    </w:lvl>
    <w:lvl w:ilvl="2">
      <w:start w:val="1"/>
      <w:numFmt w:val="decimal"/>
      <w:isLgl/>
      <w:suff w:val="tab"/>
      <w:lvlText w:val="%1.%2.%3."/>
      <w:lvlJc w:val="left"/>
      <w:pPr>
        <w:ind w:left="9056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9416" w:hanging="1080"/>
      </w:pPr>
    </w:lvl>
    <w:lvl w:ilvl="4">
      <w:start w:val="1"/>
      <w:numFmt w:val="decimal"/>
      <w:isLgl/>
      <w:suff w:val="tab"/>
      <w:lvlText w:val="%1.%2.%3.%4.%5."/>
      <w:lvlJc w:val="left"/>
      <w:pPr>
        <w:ind w:left="9416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9776" w:hanging="1440"/>
      </w:pPr>
    </w:lvl>
    <w:lvl w:ilvl="6">
      <w:start w:val="1"/>
      <w:numFmt w:val="decimal"/>
      <w:isLgl/>
      <w:suff w:val="tab"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10496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0" w:firstLine="0"/>
      </w:pPr>
      <w:rPr>
        <w:rFonts w:hint="default"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5">
    <w:name w:val="Heading 1"/>
    <w:basedOn w:val="684"/>
    <w:next w:val="684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876"/>
    <w:uiPriority w:val="99"/>
    <w:qFormat/>
    <w:pPr>
      <w:jc w:val="center"/>
      <w:keepNext/>
      <w:outlineLvl w:val="1"/>
    </w:pPr>
    <w:rPr>
      <w:rFonts w:eastAsia="Calibri"/>
      <w:sz w:val="28"/>
      <w:szCs w:val="28"/>
    </w:rPr>
  </w:style>
  <w:style w:type="paragraph" w:styleId="687">
    <w:name w:val="Heading 3"/>
    <w:basedOn w:val="684"/>
    <w:next w:val="684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1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1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90">
    <w:name w:val="Heading 6"/>
    <w:basedOn w:val="684"/>
    <w:next w:val="684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link w:val="7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Heading 5 Char"/>
    <w:basedOn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Heading 6 Char"/>
    <w:basedOn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Title Char"/>
    <w:basedOn w:val="694"/>
    <w:uiPriority w:val="10"/>
    <w:rPr>
      <w:sz w:val="48"/>
      <w:szCs w:val="48"/>
    </w:rPr>
  </w:style>
  <w:style w:type="character" w:styleId="706" w:customStyle="1">
    <w:name w:val="Subtitle Char"/>
    <w:basedOn w:val="694"/>
    <w:uiPriority w:val="11"/>
    <w:rPr>
      <w:sz w:val="24"/>
      <w:szCs w:val="24"/>
    </w:rPr>
  </w:style>
  <w:style w:type="character" w:styleId="707" w:customStyle="1">
    <w:name w:val="Quote Char"/>
    <w:uiPriority w:val="29"/>
    <w:rPr>
      <w:i/>
    </w:rPr>
  </w:style>
  <w:style w:type="character" w:styleId="708" w:customStyle="1">
    <w:name w:val="Intense Quote Char"/>
    <w:uiPriority w:val="30"/>
    <w:rPr>
      <w:i/>
    </w:rPr>
  </w:style>
  <w:style w:type="character" w:styleId="709" w:customStyle="1">
    <w:name w:val="Footnote Text Char"/>
    <w:uiPriority w:val="99"/>
    <w:rPr>
      <w:sz w:val="18"/>
    </w:rPr>
  </w:style>
  <w:style w:type="character" w:styleId="710" w:customStyle="1">
    <w:name w:val="Endnote Text Char"/>
    <w:uiPriority w:val="99"/>
    <w:rPr>
      <w:sz w:val="20"/>
    </w:rPr>
  </w:style>
  <w:style w:type="character" w:styleId="711" w:customStyle="1">
    <w:name w:val="Заголовок 1 Знак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712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713" w:customStyle="1">
    <w:name w:val="Заголовок 3 Знак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714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No Spacing"/>
    <w:uiPriority w:val="1"/>
    <w:qFormat/>
    <w:pPr>
      <w:spacing w:after="0" w:line="240" w:lineRule="auto"/>
    </w:pPr>
  </w:style>
  <w:style w:type="paragraph" w:styleId="721">
    <w:name w:val="Title"/>
    <w:basedOn w:val="684"/>
    <w:next w:val="684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 w:customStyle="1">
    <w:name w:val="Название Знак"/>
    <w:basedOn w:val="694"/>
    <w:link w:val="721"/>
    <w:uiPriority w:val="10"/>
    <w:rPr>
      <w:sz w:val="48"/>
      <w:szCs w:val="48"/>
    </w:rPr>
  </w:style>
  <w:style w:type="paragraph" w:styleId="723">
    <w:name w:val="Subtitle"/>
    <w:basedOn w:val="684"/>
    <w:next w:val="684"/>
    <w:link w:val="724"/>
    <w:uiPriority w:val="11"/>
    <w:qFormat/>
    <w:pPr>
      <w:spacing w:before="200" w:after="200"/>
    </w:pPr>
  </w:style>
  <w:style w:type="character" w:styleId="724" w:customStyle="1">
    <w:name w:val="Подзаголовок Знак"/>
    <w:basedOn w:val="694"/>
    <w:link w:val="723"/>
    <w:uiPriority w:val="11"/>
    <w:rPr>
      <w:sz w:val="24"/>
      <w:szCs w:val="24"/>
    </w:rPr>
  </w:style>
  <w:style w:type="paragraph" w:styleId="725">
    <w:name w:val="Quote"/>
    <w:basedOn w:val="684"/>
    <w:next w:val="684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84"/>
    <w:next w:val="684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character" w:styleId="729" w:customStyle="1">
    <w:name w:val="Header Char"/>
    <w:basedOn w:val="694"/>
    <w:uiPriority w:val="99"/>
  </w:style>
  <w:style w:type="character" w:styleId="730" w:customStyle="1">
    <w:name w:val="Footer Char"/>
    <w:basedOn w:val="694"/>
    <w:uiPriority w:val="99"/>
  </w:style>
  <w:style w:type="paragraph" w:styleId="731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2" w:customStyle="1">
    <w:name w:val="Caption Char"/>
    <w:uiPriority w:val="99"/>
  </w:style>
  <w:style w:type="table" w:styleId="733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4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5" w:customStyle="1">
    <w:name w:val="Plain Table 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 w:customStyle="1">
    <w:name w:val="Plain Table 2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 w:customStyle="1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8" w:customStyle="1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2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3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4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5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6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7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8" w:customStyle="1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6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7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8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9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0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1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2" w:customStyle="1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3" w:customStyle="1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5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6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7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8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9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0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1" w:customStyle="1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9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0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1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2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3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4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5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3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4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5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6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7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8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9">
    <w:name w:val="footnote text"/>
    <w:basedOn w:val="684"/>
    <w:link w:val="860"/>
    <w:uiPriority w:val="99"/>
    <w:semiHidden/>
    <w:unhideWhenUsed/>
    <w:pPr>
      <w:spacing w:after="40"/>
    </w:pPr>
    <w:rPr>
      <w:sz w:val="18"/>
    </w:rPr>
  </w:style>
  <w:style w:type="character" w:styleId="860" w:customStyle="1">
    <w:name w:val="Текст сноски Знак"/>
    <w:link w:val="859"/>
    <w:uiPriority w:val="99"/>
    <w:rPr>
      <w:sz w:val="18"/>
    </w:rPr>
  </w:style>
  <w:style w:type="character" w:styleId="861">
    <w:name w:val="footnote reference"/>
    <w:basedOn w:val="694"/>
    <w:uiPriority w:val="99"/>
    <w:unhideWhenUsed/>
    <w:rPr>
      <w:vertAlign w:val="superscript"/>
    </w:rPr>
  </w:style>
  <w:style w:type="paragraph" w:styleId="862">
    <w:name w:val="endnote text"/>
    <w:basedOn w:val="684"/>
    <w:link w:val="863"/>
    <w:uiPriority w:val="99"/>
    <w:semiHidden/>
    <w:unhideWhenUsed/>
    <w:rPr>
      <w:sz w:val="20"/>
    </w:rPr>
  </w:style>
  <w:style w:type="character" w:styleId="863" w:customStyle="1">
    <w:name w:val="Текст концевой сноски Знак"/>
    <w:link w:val="862"/>
    <w:uiPriority w:val="99"/>
    <w:rPr>
      <w:sz w:val="20"/>
    </w:rPr>
  </w:style>
  <w:style w:type="character" w:styleId="864">
    <w:name w:val="endnote reference"/>
    <w:basedOn w:val="694"/>
    <w:uiPriority w:val="99"/>
    <w:semiHidden/>
    <w:unhideWhenUsed/>
    <w:rPr>
      <w:vertAlign w:val="superscript"/>
    </w:rPr>
  </w:style>
  <w:style w:type="paragraph" w:styleId="865">
    <w:name w:val="toc 1"/>
    <w:basedOn w:val="684"/>
    <w:next w:val="684"/>
    <w:uiPriority w:val="39"/>
    <w:unhideWhenUsed/>
    <w:pPr>
      <w:spacing w:after="57"/>
    </w:pPr>
  </w:style>
  <w:style w:type="paragraph" w:styleId="866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67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68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69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70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71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72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73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684"/>
    <w:next w:val="684"/>
    <w:uiPriority w:val="99"/>
    <w:unhideWhenUsed/>
  </w:style>
  <w:style w:type="character" w:styleId="876" w:customStyle="1">
    <w:name w:val="Заголовок 2 Знак"/>
    <w:basedOn w:val="694"/>
    <w:link w:val="686"/>
    <w:uiPriority w:val="99"/>
    <w:rPr>
      <w:rFonts w:ascii="Times New Roman" w:hAnsi="Times New Roman" w:eastAsia="Calibri" w:cs="Times New Roman"/>
      <w:sz w:val="28"/>
      <w:szCs w:val="28"/>
      <w:lang w:eastAsia="ru-RU"/>
    </w:rPr>
  </w:style>
  <w:style w:type="paragraph" w:styleId="877" w:customStyle="1">
    <w:name w:val="ConsNormal"/>
    <w:pPr>
      <w:ind w:right="19772"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78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879">
    <w:name w:val="Balloon Text"/>
    <w:basedOn w:val="684"/>
    <w:link w:val="880"/>
    <w:uiPriority w:val="99"/>
    <w:semiHidden/>
    <w:unhideWhenUsed/>
    <w:rPr>
      <w:rFonts w:ascii="Tahoma" w:hAnsi="Tahoma" w:cs="Tahoma"/>
      <w:sz w:val="16"/>
      <w:szCs w:val="16"/>
    </w:rPr>
  </w:style>
  <w:style w:type="character" w:styleId="880" w:customStyle="1">
    <w:name w:val="Текст выноски Знак"/>
    <w:basedOn w:val="694"/>
    <w:link w:val="879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81" w:customStyle="1">
    <w:name w:val="spellchecker-word-highlight"/>
    <w:basedOn w:val="694"/>
  </w:style>
  <w:style w:type="character" w:styleId="882" w:customStyle="1">
    <w:name w:val="Основной текст Знак"/>
    <w:rPr>
      <w:rFonts w:ascii="Times New Roman" w:hAnsi="Times New Roman" w:eastAsia="Times New Roman" w:cs="Times New Roman"/>
      <w:b/>
      <w:bCs/>
    </w:rPr>
  </w:style>
  <w:style w:type="character" w:styleId="883" w:customStyle="1">
    <w:name w:val="Основной текст + Интервал 0 pt"/>
    <w:basedOn w:val="69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884">
    <w:name w:val="Header"/>
    <w:basedOn w:val="684"/>
    <w:link w:val="8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5" w:customStyle="1">
    <w:name w:val="Верхний колонтитул Знак"/>
    <w:basedOn w:val="694"/>
    <w:link w:val="88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6">
    <w:name w:val="Footer"/>
    <w:basedOn w:val="684"/>
    <w:link w:val="8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"/>
    <w:basedOn w:val="694"/>
    <w:link w:val="88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 w:customStyle="1">
    <w:name w:val="copy_target"/>
    <w:basedOn w:val="694"/>
  </w:style>
  <w:style w:type="paragraph" w:styleId="889">
    <w:name w:val="List Paragraph"/>
    <w:basedOn w:val="684"/>
    <w:uiPriority w:val="34"/>
    <w:qFormat/>
    <w:pPr>
      <w:contextualSpacing/>
      <w:ind w:left="720"/>
    </w:pPr>
  </w:style>
  <w:style w:type="character" w:styleId="890" w:customStyle="1">
    <w:name w:val="Гиперссылка1"/>
    <w:uiPriority w:val="99"/>
    <w:unhideWhenUsed/>
    <w:rPr>
      <w:color w:val="0000ff"/>
      <w:u w:val="single"/>
    </w:rPr>
  </w:style>
  <w:style w:type="character" w:styleId="891" w:customStyle="1">
    <w:name w:val="h2-12-c"/>
    <w:rPr>
      <w:rFonts w:hint="default" w:ascii="Arial" w:hAnsi="Arial" w:eastAsia="Arial" w:cs="Arial"/>
      <w:b/>
      <w:bCs/>
      <w:strike w:val="0"/>
      <w:color w:val="ffffff"/>
      <w:sz w:val="18"/>
      <w:szCs w:val="18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01645-98F1-460D-B860-2BB46508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revision>328</cp:revision>
  <dcterms:created xsi:type="dcterms:W3CDTF">2019-08-22T12:02:00Z</dcterms:created>
  <dcterms:modified xsi:type="dcterms:W3CDTF">2024-10-28T12:34:47Z</dcterms:modified>
</cp:coreProperties>
</file>